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AE" w:rsidRDefault="003A43AE" w:rsidP="003A43A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0F247A" wp14:editId="10F73976">
            <wp:simplePos x="0" y="0"/>
            <wp:positionH relativeFrom="column">
              <wp:posOffset>-1165860</wp:posOffset>
            </wp:positionH>
            <wp:positionV relativeFrom="paragraph">
              <wp:posOffset>-770255</wp:posOffset>
            </wp:positionV>
            <wp:extent cx="7477125" cy="2124075"/>
            <wp:effectExtent l="19050" t="0" r="9525" b="0"/>
            <wp:wrapNone/>
            <wp:docPr id="6" name="Рисунок 6" descr="БЛАНК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 НОВ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577" w:type="dxa"/>
        <w:tblInd w:w="-106" w:type="dxa"/>
        <w:tblLook w:val="01E0" w:firstRow="1" w:lastRow="1" w:firstColumn="1" w:lastColumn="1" w:noHBand="0" w:noVBand="0"/>
      </w:tblPr>
      <w:tblGrid>
        <w:gridCol w:w="4577"/>
      </w:tblGrid>
      <w:tr w:rsidR="003A43AE" w:rsidRPr="00FE6DDF" w:rsidTr="00F86B85">
        <w:tc>
          <w:tcPr>
            <w:tcW w:w="4577" w:type="dxa"/>
          </w:tcPr>
          <w:p w:rsidR="003A43AE" w:rsidRPr="00FE6DDF" w:rsidRDefault="003A43AE" w:rsidP="00F86B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43AE" w:rsidRPr="00FE6DDF" w:rsidRDefault="003A43AE" w:rsidP="00F86B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43AE" w:rsidRPr="00FE6DDF" w:rsidRDefault="003A43AE" w:rsidP="00F86B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43AE" w:rsidRPr="00FE6DDF" w:rsidRDefault="003A43AE" w:rsidP="00F86B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43AE" w:rsidRPr="00FE6DDF" w:rsidRDefault="003A43AE" w:rsidP="00F86B8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A43AE" w:rsidRDefault="003A43AE" w:rsidP="003A43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Молодежная (студенческая) конференция</w:t>
      </w:r>
    </w:p>
    <w:p w:rsidR="003A43AE" w:rsidRPr="003A04EC" w:rsidRDefault="003A43AE" w:rsidP="003A43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«Парламентаризм:</w:t>
      </w:r>
    </w:p>
    <w:p w:rsidR="003A43AE" w:rsidRDefault="003A43AE" w:rsidP="003A43A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история и современность»</w:t>
      </w:r>
    </w:p>
    <w:p w:rsidR="003A43AE" w:rsidRPr="00E82F87" w:rsidRDefault="003A43AE" w:rsidP="003A43AE">
      <w:pPr>
        <w:pStyle w:val="Default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(«Встречи в Таврическом»)</w:t>
      </w:r>
    </w:p>
    <w:p w:rsidR="003A43AE" w:rsidRPr="00E82F87" w:rsidRDefault="003A43AE" w:rsidP="003A43AE">
      <w:pPr>
        <w:pStyle w:val="Default"/>
        <w:jc w:val="center"/>
        <w:rPr>
          <w:sz w:val="28"/>
          <w:szCs w:val="28"/>
        </w:rPr>
      </w:pPr>
    </w:p>
    <w:p w:rsidR="003A43AE" w:rsidRPr="00B70094" w:rsidRDefault="003A43AE" w:rsidP="003A43A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Центр истории парламентаризма приглашает студентов гуманитарных факультетов принять участие в конференции «Парламентаризм: история и современность» («Встречи в Таврическом»), которая состоится в Таврическом дворце </w:t>
      </w:r>
      <w:r w:rsidRPr="00E867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6</w:t>
      </w:r>
      <w:r w:rsidRPr="00B70094">
        <w:rPr>
          <w:b/>
          <w:sz w:val="28"/>
          <w:szCs w:val="28"/>
        </w:rPr>
        <w:t xml:space="preserve"> дека</w:t>
      </w:r>
      <w:r>
        <w:rPr>
          <w:b/>
          <w:sz w:val="28"/>
          <w:szCs w:val="28"/>
        </w:rPr>
        <w:t>бря 2019</w:t>
      </w:r>
      <w:r w:rsidRPr="00B70094">
        <w:rPr>
          <w:b/>
          <w:sz w:val="28"/>
          <w:szCs w:val="28"/>
        </w:rPr>
        <w:t xml:space="preserve"> года. </w:t>
      </w:r>
    </w:p>
    <w:p w:rsidR="003A43AE" w:rsidRPr="004004AF" w:rsidRDefault="003A43AE" w:rsidP="003A43AE">
      <w:pPr>
        <w:pStyle w:val="Default"/>
        <w:jc w:val="both"/>
        <w:rPr>
          <w:sz w:val="22"/>
          <w:szCs w:val="22"/>
        </w:rPr>
      </w:pPr>
    </w:p>
    <w:p w:rsidR="003A43AE" w:rsidRPr="0037504C" w:rsidRDefault="003A43AE" w:rsidP="003A43AE">
      <w:pPr>
        <w:pStyle w:val="a3"/>
        <w:jc w:val="both"/>
      </w:pPr>
      <w:r w:rsidRPr="0037504C">
        <w:t>С 2007 года в Таврическом дворце Центр истории парламентаризма проводит ежегодную международную научную конференцию, посвященную актуальным проблемам парламентаризма («Таврические чтения»). Исследователи из разных городов России, стран ближнего и дальнего зарубежья собираются для обсуждения вопросов, связанных как с историей Государственной думы Российской империи, так и с историей современного парламентаризма.</w:t>
      </w:r>
    </w:p>
    <w:p w:rsidR="003A43AE" w:rsidRPr="004004AF" w:rsidRDefault="003A43AE" w:rsidP="003A43AE">
      <w:pPr>
        <w:pStyle w:val="a3"/>
        <w:rPr>
          <w:b/>
          <w:sz w:val="22"/>
          <w:szCs w:val="22"/>
        </w:rPr>
      </w:pPr>
    </w:p>
    <w:p w:rsidR="003A43AE" w:rsidRPr="00B70094" w:rsidRDefault="003A43AE" w:rsidP="003A43AE">
      <w:pPr>
        <w:pStyle w:val="a3"/>
        <w:jc w:val="both"/>
      </w:pPr>
      <w:r w:rsidRPr="00E86721">
        <w:rPr>
          <w:b/>
        </w:rPr>
        <w:t xml:space="preserve">    </w:t>
      </w:r>
      <w:proofErr w:type="gramStart"/>
      <w:r>
        <w:rPr>
          <w:b/>
          <w:lang w:val="en-US"/>
        </w:rPr>
        <w:t>O</w:t>
      </w:r>
      <w:proofErr w:type="spellStart"/>
      <w:r w:rsidRPr="00B70094">
        <w:rPr>
          <w:b/>
        </w:rPr>
        <w:t>дновременно</w:t>
      </w:r>
      <w:proofErr w:type="spellEnd"/>
      <w:r w:rsidRPr="00B70094">
        <w:t xml:space="preserve"> с «</w:t>
      </w:r>
      <w:r>
        <w:t xml:space="preserve">Таврическими чтениями» проводится студенческая конференция </w:t>
      </w:r>
      <w:r w:rsidRPr="00B70094">
        <w:t>«Встречи</w:t>
      </w:r>
      <w:r>
        <w:t xml:space="preserve"> в Таврическом».</w:t>
      </w:r>
      <w:proofErr w:type="gramEnd"/>
      <w:r>
        <w:t xml:space="preserve"> Студентам  предоставляется  </w:t>
      </w:r>
      <w:r w:rsidRPr="00B70094">
        <w:t>возможность н</w:t>
      </w:r>
      <w:r>
        <w:t>е только принять участие в молодежной</w:t>
      </w:r>
      <w:r w:rsidRPr="00B70094">
        <w:t xml:space="preserve"> конференции, но и встретиться с ведущими специалистами в области истории парламентаризма, принять участие в</w:t>
      </w:r>
      <w:r>
        <w:t xml:space="preserve"> </w:t>
      </w:r>
      <w:r w:rsidRPr="00B70094">
        <w:t>дискуссиях и других мероприятиях в рамках «Таврических чтений».</w:t>
      </w:r>
    </w:p>
    <w:p w:rsidR="003A43AE" w:rsidRPr="00B70094" w:rsidRDefault="003A43AE" w:rsidP="003A43AE">
      <w:pPr>
        <w:pStyle w:val="a3"/>
      </w:pPr>
    </w:p>
    <w:p w:rsidR="003A43AE" w:rsidRPr="00B70094" w:rsidRDefault="003A43AE" w:rsidP="003A43AE">
      <w:pPr>
        <w:pStyle w:val="a3"/>
        <w:jc w:val="both"/>
      </w:pPr>
      <w:r w:rsidRPr="00B70094">
        <w:t>Для участников студенческой конференции предлагается работа по следующим направлениям:</w:t>
      </w:r>
    </w:p>
    <w:p w:rsidR="003A43AE" w:rsidRPr="00B70094" w:rsidRDefault="003A43AE" w:rsidP="003A43AE">
      <w:pPr>
        <w:pStyle w:val="a3"/>
      </w:pPr>
      <w:r>
        <w:t xml:space="preserve"> </w:t>
      </w:r>
    </w:p>
    <w:p w:rsidR="003A43AE" w:rsidRDefault="003A43AE" w:rsidP="003A43AE">
      <w:pPr>
        <w:pStyle w:val="a3"/>
        <w:numPr>
          <w:ilvl w:val="0"/>
          <w:numId w:val="5"/>
        </w:numPr>
        <w:rPr>
          <w:b/>
          <w:i/>
        </w:rPr>
      </w:pPr>
      <w:r w:rsidRPr="00B70094">
        <w:rPr>
          <w:b/>
          <w:i/>
        </w:rPr>
        <w:t>Ист</w:t>
      </w:r>
      <w:r>
        <w:rPr>
          <w:b/>
          <w:i/>
        </w:rPr>
        <w:t>ория парламентаризма в Российско</w:t>
      </w:r>
      <w:r w:rsidRPr="00B70094">
        <w:rPr>
          <w:b/>
          <w:i/>
        </w:rPr>
        <w:t xml:space="preserve">й империи </w:t>
      </w:r>
    </w:p>
    <w:p w:rsidR="003A43AE" w:rsidRPr="00B70094" w:rsidRDefault="003A43AE" w:rsidP="003A43AE">
      <w:pPr>
        <w:pStyle w:val="a3"/>
        <w:ind w:left="1425"/>
        <w:rPr>
          <w:b/>
          <w:i/>
        </w:rPr>
      </w:pPr>
      <w:r w:rsidRPr="00B70094">
        <w:rPr>
          <w:b/>
          <w:i/>
        </w:rPr>
        <w:t>(1906</w:t>
      </w:r>
      <w:r>
        <w:rPr>
          <w:b/>
          <w:i/>
        </w:rPr>
        <w:t xml:space="preserve"> –</w:t>
      </w:r>
      <w:r w:rsidRPr="00B70094">
        <w:rPr>
          <w:b/>
          <w:i/>
        </w:rPr>
        <w:t>1917</w:t>
      </w:r>
      <w:r>
        <w:rPr>
          <w:b/>
          <w:i/>
        </w:rPr>
        <w:t xml:space="preserve"> </w:t>
      </w:r>
      <w:r w:rsidRPr="00B70094">
        <w:rPr>
          <w:b/>
          <w:i/>
        </w:rPr>
        <w:t>гг</w:t>
      </w:r>
      <w:r>
        <w:rPr>
          <w:b/>
          <w:i/>
        </w:rPr>
        <w:t>.</w:t>
      </w:r>
      <w:r w:rsidRPr="00B70094">
        <w:rPr>
          <w:b/>
          <w:i/>
        </w:rPr>
        <w:t>):</w:t>
      </w:r>
    </w:p>
    <w:p w:rsidR="003A43AE" w:rsidRPr="00B70094" w:rsidRDefault="003A43AE" w:rsidP="003A43AE">
      <w:pPr>
        <w:pStyle w:val="a3"/>
        <w:numPr>
          <w:ilvl w:val="0"/>
          <w:numId w:val="7"/>
        </w:numPr>
      </w:pPr>
      <w:r w:rsidRPr="00B70094">
        <w:t>Выборы в Государс</w:t>
      </w:r>
      <w:r>
        <w:t>твенную думу Российской империи</w:t>
      </w:r>
    </w:p>
    <w:p w:rsidR="003A43AE" w:rsidRPr="00B70094" w:rsidRDefault="003A43AE" w:rsidP="003A43AE">
      <w:pPr>
        <w:pStyle w:val="a3"/>
        <w:numPr>
          <w:ilvl w:val="0"/>
          <w:numId w:val="7"/>
        </w:numPr>
      </w:pPr>
      <w:r w:rsidRPr="00B70094">
        <w:t>Парламент, правительство, общество: опыт взаимодействия</w:t>
      </w:r>
    </w:p>
    <w:p w:rsidR="003A43AE" w:rsidRPr="00B70094" w:rsidRDefault="003A43AE" w:rsidP="003A43AE">
      <w:pPr>
        <w:pStyle w:val="a3"/>
        <w:numPr>
          <w:ilvl w:val="0"/>
          <w:numId w:val="7"/>
        </w:numPr>
      </w:pPr>
      <w:r w:rsidRPr="00B70094">
        <w:t>Региональные аспе</w:t>
      </w:r>
      <w:r>
        <w:t>кты российского парламентаризма</w:t>
      </w:r>
    </w:p>
    <w:p w:rsidR="003A43AE" w:rsidRPr="00B70094" w:rsidRDefault="003A43AE" w:rsidP="003A43AE">
      <w:pPr>
        <w:pStyle w:val="a3"/>
        <w:numPr>
          <w:ilvl w:val="0"/>
          <w:numId w:val="7"/>
        </w:numPr>
      </w:pPr>
      <w:r>
        <w:t xml:space="preserve">Парламентская </w:t>
      </w:r>
      <w:proofErr w:type="spellStart"/>
      <w:r>
        <w:t>биографика</w:t>
      </w:r>
      <w:proofErr w:type="spellEnd"/>
    </w:p>
    <w:p w:rsidR="003A43AE" w:rsidRPr="00B70094" w:rsidRDefault="003A43AE" w:rsidP="003A43AE">
      <w:pPr>
        <w:pStyle w:val="a3"/>
        <w:numPr>
          <w:ilvl w:val="0"/>
          <w:numId w:val="7"/>
        </w:numPr>
      </w:pPr>
      <w:r w:rsidRPr="00B70094">
        <w:t>Парламентская повседневность</w:t>
      </w:r>
    </w:p>
    <w:p w:rsidR="003A43AE" w:rsidRPr="00B70094" w:rsidRDefault="003A43AE" w:rsidP="003A43AE">
      <w:pPr>
        <w:pStyle w:val="a3"/>
        <w:ind w:left="705"/>
      </w:pPr>
    </w:p>
    <w:p w:rsidR="003A43AE" w:rsidRPr="00E86721" w:rsidRDefault="003A43AE" w:rsidP="003A43AE">
      <w:pPr>
        <w:pStyle w:val="a3"/>
        <w:ind w:left="1065"/>
      </w:pPr>
    </w:p>
    <w:p w:rsidR="003A43AE" w:rsidRPr="00B70094" w:rsidRDefault="003A43AE" w:rsidP="003A43AE">
      <w:pPr>
        <w:pStyle w:val="a3"/>
        <w:numPr>
          <w:ilvl w:val="0"/>
          <w:numId w:val="5"/>
        </w:numPr>
        <w:rPr>
          <w:b/>
          <w:i/>
        </w:rPr>
      </w:pPr>
      <w:r w:rsidRPr="00B70094">
        <w:rPr>
          <w:b/>
          <w:i/>
        </w:rPr>
        <w:lastRenderedPageBreak/>
        <w:t>Развитие парлам</w:t>
      </w:r>
      <w:r>
        <w:rPr>
          <w:b/>
          <w:i/>
        </w:rPr>
        <w:t xml:space="preserve">ентаризма в странах  СНГ </w:t>
      </w:r>
      <w:r w:rsidRPr="00B70094">
        <w:rPr>
          <w:b/>
          <w:i/>
        </w:rPr>
        <w:t>на современном этапе:</w:t>
      </w:r>
    </w:p>
    <w:p w:rsidR="003A43AE" w:rsidRPr="00B70094" w:rsidRDefault="003A43AE" w:rsidP="003A43AE">
      <w:pPr>
        <w:pStyle w:val="a3"/>
        <w:numPr>
          <w:ilvl w:val="0"/>
          <w:numId w:val="6"/>
        </w:numPr>
      </w:pPr>
      <w:r w:rsidRPr="00B70094">
        <w:t>Парламент, правительство</w:t>
      </w:r>
      <w:r>
        <w:t>, общество: опыт взаимодействия</w:t>
      </w:r>
    </w:p>
    <w:p w:rsidR="003A43AE" w:rsidRPr="00B70094" w:rsidRDefault="003A43AE" w:rsidP="003A43AE">
      <w:pPr>
        <w:pStyle w:val="a3"/>
        <w:numPr>
          <w:ilvl w:val="0"/>
          <w:numId w:val="6"/>
        </w:numPr>
      </w:pPr>
      <w:r>
        <w:t>Выборы в представительные органы власти</w:t>
      </w:r>
    </w:p>
    <w:p w:rsidR="003A43AE" w:rsidRPr="00B70094" w:rsidRDefault="003A43AE" w:rsidP="003A43AE">
      <w:pPr>
        <w:pStyle w:val="a3"/>
        <w:numPr>
          <w:ilvl w:val="0"/>
          <w:numId w:val="6"/>
        </w:numPr>
      </w:pPr>
      <w:r>
        <w:t>Парламентская повседневность</w:t>
      </w:r>
    </w:p>
    <w:p w:rsidR="003A43AE" w:rsidRPr="00B70094" w:rsidRDefault="003A43AE" w:rsidP="003A43AE">
      <w:pPr>
        <w:pStyle w:val="a3"/>
        <w:numPr>
          <w:ilvl w:val="0"/>
          <w:numId w:val="6"/>
        </w:numPr>
      </w:pPr>
      <w:r w:rsidRPr="00B70094">
        <w:t>Взаимоотношения фракций в парламенте</w:t>
      </w:r>
    </w:p>
    <w:p w:rsidR="003A43AE" w:rsidRPr="00B70094" w:rsidRDefault="003A43AE" w:rsidP="003A43AE">
      <w:pPr>
        <w:pStyle w:val="a3"/>
        <w:ind w:left="1065"/>
      </w:pPr>
    </w:p>
    <w:p w:rsidR="003A43AE" w:rsidRDefault="003A43AE" w:rsidP="003A43AE">
      <w:pPr>
        <w:pStyle w:val="a3"/>
        <w:numPr>
          <w:ilvl w:val="0"/>
          <w:numId w:val="5"/>
        </w:numPr>
        <w:rPr>
          <w:b/>
          <w:i/>
        </w:rPr>
      </w:pPr>
      <w:r w:rsidRPr="00B70094">
        <w:rPr>
          <w:b/>
          <w:i/>
        </w:rPr>
        <w:t>Парламенты мира: история и современность (Х</w:t>
      </w:r>
      <w:proofErr w:type="gramStart"/>
      <w:r w:rsidRPr="00B70094">
        <w:rPr>
          <w:b/>
          <w:i/>
          <w:lang w:val="en-US"/>
        </w:rPr>
        <w:t>I</w:t>
      </w:r>
      <w:proofErr w:type="gramEnd"/>
      <w:r w:rsidRPr="00B70094">
        <w:rPr>
          <w:b/>
          <w:i/>
        </w:rPr>
        <w:t>Х – ХХ</w:t>
      </w:r>
      <w:r w:rsidRPr="00B70094">
        <w:rPr>
          <w:b/>
          <w:i/>
          <w:lang w:val="en-US"/>
        </w:rPr>
        <w:t>I</w:t>
      </w:r>
      <w:r w:rsidRPr="00B70094">
        <w:rPr>
          <w:b/>
          <w:i/>
        </w:rPr>
        <w:t xml:space="preserve"> вв.)</w:t>
      </w:r>
    </w:p>
    <w:p w:rsidR="003A43AE" w:rsidRPr="00B70094" w:rsidRDefault="003A43AE" w:rsidP="003A43AE">
      <w:pPr>
        <w:pStyle w:val="a3"/>
        <w:ind w:left="1425"/>
        <w:rPr>
          <w:b/>
          <w:i/>
        </w:rPr>
      </w:pPr>
    </w:p>
    <w:p w:rsidR="003A43AE" w:rsidRPr="00452990" w:rsidRDefault="003A43AE" w:rsidP="003A43AE">
      <w:pPr>
        <w:pStyle w:val="a3"/>
        <w:numPr>
          <w:ilvl w:val="0"/>
          <w:numId w:val="5"/>
        </w:numPr>
        <w:rPr>
          <w:b/>
          <w:i/>
        </w:rPr>
      </w:pPr>
      <w:r>
        <w:rPr>
          <w:b/>
          <w:i/>
        </w:rPr>
        <w:t>Парламентская журналистика: история и современность</w:t>
      </w:r>
    </w:p>
    <w:p w:rsidR="003A43AE" w:rsidRDefault="003A43AE" w:rsidP="003A43AE">
      <w:pPr>
        <w:pStyle w:val="a3"/>
        <w:numPr>
          <w:ilvl w:val="0"/>
          <w:numId w:val="4"/>
        </w:numPr>
        <w:jc w:val="both"/>
      </w:pPr>
      <w:r>
        <w:t>Парламентская журналистика в Российской империи в начале ХХ века</w:t>
      </w:r>
    </w:p>
    <w:p w:rsidR="003A43AE" w:rsidRDefault="003A43AE" w:rsidP="003A43AE">
      <w:pPr>
        <w:pStyle w:val="a3"/>
        <w:numPr>
          <w:ilvl w:val="0"/>
          <w:numId w:val="4"/>
        </w:numPr>
        <w:jc w:val="both"/>
      </w:pPr>
      <w:r>
        <w:t>Парламентская журналистика в Российской Федерации в конце ХХ-начале ХХ</w:t>
      </w:r>
      <w:proofErr w:type="gramStart"/>
      <w:r>
        <w:rPr>
          <w:lang w:val="en-US"/>
        </w:rPr>
        <w:t>I</w:t>
      </w:r>
      <w:proofErr w:type="gramEnd"/>
      <w:r>
        <w:t xml:space="preserve"> вв.</w:t>
      </w:r>
    </w:p>
    <w:p w:rsidR="003A43AE" w:rsidRDefault="003A43AE" w:rsidP="003A43AE">
      <w:pPr>
        <w:pStyle w:val="a3"/>
        <w:numPr>
          <w:ilvl w:val="0"/>
          <w:numId w:val="4"/>
        </w:numPr>
        <w:jc w:val="both"/>
      </w:pPr>
      <w:r>
        <w:t xml:space="preserve">Парламентская журналистика в странах СНГ и других странах мира на современном этапе </w:t>
      </w:r>
    </w:p>
    <w:p w:rsidR="003A43AE" w:rsidRPr="00452990" w:rsidRDefault="003A43AE" w:rsidP="003A43AE">
      <w:pPr>
        <w:rPr>
          <w:b/>
          <w:i/>
        </w:rPr>
      </w:pPr>
    </w:p>
    <w:p w:rsidR="003A43AE" w:rsidRDefault="003A43AE" w:rsidP="003A43AE">
      <w:pPr>
        <w:pStyle w:val="a3"/>
        <w:numPr>
          <w:ilvl w:val="0"/>
          <w:numId w:val="5"/>
        </w:numPr>
        <w:rPr>
          <w:b/>
          <w:i/>
        </w:rPr>
      </w:pPr>
      <w:r>
        <w:rPr>
          <w:b/>
          <w:i/>
        </w:rPr>
        <w:t>230 лет под сенью Таврического дворца: история, архитектура, живопись, литература.</w:t>
      </w:r>
    </w:p>
    <w:p w:rsidR="003A43AE" w:rsidRPr="003A43AE" w:rsidRDefault="003A43AE" w:rsidP="003A43AE">
      <w:pPr>
        <w:pStyle w:val="a3"/>
        <w:rPr>
          <w:b/>
          <w:i/>
          <w:lang w:val="en-US"/>
        </w:rPr>
      </w:pPr>
    </w:p>
    <w:p w:rsidR="003A43AE" w:rsidRPr="00B70094" w:rsidRDefault="003A43AE" w:rsidP="003A43AE">
      <w:pPr>
        <w:pStyle w:val="a3"/>
        <w:jc w:val="both"/>
      </w:pPr>
      <w:r w:rsidRPr="00B70094">
        <w:t>Исследовательская</w:t>
      </w:r>
      <w:r>
        <w:t xml:space="preserve"> </w:t>
      </w:r>
      <w:r w:rsidRPr="00B70094">
        <w:t>работа предполагает</w:t>
      </w:r>
      <w:r>
        <w:t xml:space="preserve"> </w:t>
      </w:r>
      <w:r w:rsidRPr="00B70094">
        <w:t>обязательное</w:t>
      </w:r>
      <w:r>
        <w:t xml:space="preserve"> </w:t>
      </w:r>
      <w:r w:rsidRPr="00B70094">
        <w:t>изучение:</w:t>
      </w:r>
    </w:p>
    <w:p w:rsidR="003A43AE" w:rsidRPr="00B70094" w:rsidRDefault="003A43AE" w:rsidP="003A43AE">
      <w:pPr>
        <w:pStyle w:val="a3"/>
        <w:jc w:val="both"/>
      </w:pPr>
      <w:r w:rsidRPr="00B70094">
        <w:t>-</w:t>
      </w:r>
      <w:r>
        <w:t xml:space="preserve"> </w:t>
      </w:r>
      <w:r w:rsidRPr="00B70094">
        <w:t>архивных материалов (иногородним студентам предлагается акцентировать внимание на материалах из региональных архивов);</w:t>
      </w:r>
    </w:p>
    <w:p w:rsidR="003A43AE" w:rsidRPr="00B70094" w:rsidRDefault="003A43AE" w:rsidP="003A43AE">
      <w:pPr>
        <w:pStyle w:val="a3"/>
        <w:jc w:val="both"/>
      </w:pPr>
      <w:r w:rsidRPr="00B70094">
        <w:t>- стенографических отчетов;</w:t>
      </w:r>
    </w:p>
    <w:p w:rsidR="003A43AE" w:rsidRPr="00B70094" w:rsidRDefault="003A43AE" w:rsidP="003A43AE">
      <w:pPr>
        <w:pStyle w:val="a3"/>
        <w:jc w:val="both"/>
      </w:pPr>
      <w:r w:rsidRPr="00B70094">
        <w:t>- изданий периодической печати начала ХХ века или конца ХХ</w:t>
      </w:r>
      <w:r>
        <w:t>–</w:t>
      </w:r>
      <w:r w:rsidRPr="00B70094">
        <w:t>ХХ</w:t>
      </w:r>
      <w:proofErr w:type="gramStart"/>
      <w:r w:rsidRPr="00B70094">
        <w:rPr>
          <w:lang w:val="en-US"/>
        </w:rPr>
        <w:t>I</w:t>
      </w:r>
      <w:proofErr w:type="gramEnd"/>
      <w:r w:rsidRPr="00B70094">
        <w:t xml:space="preserve"> вв. (в зависимости от темы);</w:t>
      </w:r>
    </w:p>
    <w:p w:rsidR="003A43AE" w:rsidRPr="003A43AE" w:rsidRDefault="003A43AE" w:rsidP="003A43AE">
      <w:pPr>
        <w:pStyle w:val="a3"/>
        <w:jc w:val="both"/>
      </w:pPr>
      <w:r w:rsidRPr="00B70094">
        <w:t>- мемуарной литературы и т.д.</w:t>
      </w:r>
    </w:p>
    <w:p w:rsidR="003A43AE" w:rsidRPr="00B70094" w:rsidRDefault="003A43AE" w:rsidP="003A43AE">
      <w:pPr>
        <w:pStyle w:val="a3"/>
      </w:pPr>
    </w:p>
    <w:p w:rsidR="003A43AE" w:rsidRPr="00B70094" w:rsidRDefault="003A43AE" w:rsidP="003A43AE">
      <w:pPr>
        <w:pStyle w:val="a3"/>
      </w:pPr>
      <w:r w:rsidRPr="00B70094">
        <w:t xml:space="preserve"> По итогам конференции издается сборник статей.</w:t>
      </w:r>
    </w:p>
    <w:p w:rsidR="003A43AE" w:rsidRPr="00B70094" w:rsidRDefault="003A43AE" w:rsidP="003A43AE">
      <w:pPr>
        <w:pStyle w:val="a3"/>
      </w:pPr>
      <w:r w:rsidRPr="00B70094">
        <w:t xml:space="preserve"> Оргкомитет оставляет за собой право отбора статей для публикации.</w:t>
      </w:r>
    </w:p>
    <w:p w:rsidR="003A43AE" w:rsidRPr="00763B5B" w:rsidRDefault="003A43AE" w:rsidP="003A43AE">
      <w:pPr>
        <w:pStyle w:val="a3"/>
      </w:pPr>
      <w:r w:rsidRPr="00B70094">
        <w:t xml:space="preserve"> </w:t>
      </w:r>
    </w:p>
    <w:p w:rsidR="003A43AE" w:rsidRPr="00B70094" w:rsidRDefault="003A43AE" w:rsidP="003A43AE">
      <w:pPr>
        <w:pStyle w:val="a3"/>
        <w:jc w:val="both"/>
      </w:pPr>
      <w:r w:rsidRPr="00B70094">
        <w:t xml:space="preserve">Заявки и доклады (объем – до 0,3 печатного листа) принимаются </w:t>
      </w:r>
      <w:r>
        <w:rPr>
          <w:b/>
        </w:rPr>
        <w:t>до 1</w:t>
      </w:r>
      <w:r w:rsidRPr="00B70094">
        <w:rPr>
          <w:b/>
        </w:rPr>
        <w:t xml:space="preserve"> </w:t>
      </w:r>
      <w:r>
        <w:rPr>
          <w:b/>
        </w:rPr>
        <w:t>ноября 2019</w:t>
      </w:r>
      <w:r w:rsidRPr="00B70094">
        <w:t xml:space="preserve"> года по электронному адресу</w:t>
      </w:r>
      <w:r>
        <w:t xml:space="preserve">: </w:t>
      </w:r>
      <w:hyperlink r:id="rId7" w:history="1">
        <w:r w:rsidRPr="007E1F00">
          <w:rPr>
            <w:rStyle w:val="a4"/>
            <w:lang w:val="en-US"/>
          </w:rPr>
          <w:t>tavr</w:t>
        </w:r>
        <w:r w:rsidRPr="00B70094">
          <w:rPr>
            <w:rStyle w:val="a4"/>
          </w:rPr>
          <w:t>-</w:t>
        </w:r>
        <w:r w:rsidRPr="007E1F00">
          <w:rPr>
            <w:rStyle w:val="a4"/>
            <w:lang w:val="en-US"/>
          </w:rPr>
          <w:t>chtenia</w:t>
        </w:r>
        <w:r w:rsidRPr="00B70094">
          <w:rPr>
            <w:rStyle w:val="a4"/>
          </w:rPr>
          <w:t>2013@</w:t>
        </w:r>
        <w:r w:rsidRPr="007E1F00">
          <w:rPr>
            <w:rStyle w:val="a4"/>
            <w:lang w:val="en-US"/>
          </w:rPr>
          <w:t>yandex</w:t>
        </w:r>
        <w:r w:rsidRPr="00B70094">
          <w:rPr>
            <w:rStyle w:val="a4"/>
          </w:rPr>
          <w:t>.</w:t>
        </w:r>
        <w:proofErr w:type="spellStart"/>
        <w:r w:rsidRPr="007E1F00">
          <w:rPr>
            <w:rStyle w:val="a4"/>
            <w:lang w:val="en-US"/>
          </w:rPr>
          <w:t>ru</w:t>
        </w:r>
        <w:proofErr w:type="spellEnd"/>
      </w:hyperlink>
    </w:p>
    <w:p w:rsidR="003A43AE" w:rsidRPr="00B70094" w:rsidRDefault="003A43AE" w:rsidP="003A43AE">
      <w:pPr>
        <w:pStyle w:val="a3"/>
        <w:jc w:val="both"/>
      </w:pPr>
      <w:r w:rsidRPr="00B70094">
        <w:t>Заявки принимаются вместе с докладами.</w:t>
      </w:r>
    </w:p>
    <w:p w:rsidR="003A43AE" w:rsidRPr="00B70094" w:rsidRDefault="003A43AE" w:rsidP="003A43AE">
      <w:pPr>
        <w:pStyle w:val="a3"/>
        <w:jc w:val="both"/>
      </w:pPr>
      <w:r w:rsidRPr="00B70094">
        <w:t>Оргкомитет оставляет за собой право отбора заявок.</w:t>
      </w:r>
    </w:p>
    <w:p w:rsidR="003A43AE" w:rsidRPr="00763B5B" w:rsidRDefault="003A43AE" w:rsidP="003A43AE">
      <w:pPr>
        <w:pStyle w:val="a3"/>
        <w:rPr>
          <w:b/>
        </w:rPr>
      </w:pPr>
    </w:p>
    <w:p w:rsidR="003A43AE" w:rsidRPr="00B70094" w:rsidRDefault="003A43AE" w:rsidP="003A43AE">
      <w:pPr>
        <w:pStyle w:val="a3"/>
        <w:jc w:val="both"/>
        <w:rPr>
          <w:b/>
        </w:rPr>
      </w:pPr>
      <w:r w:rsidRPr="00B70094">
        <w:rPr>
          <w:b/>
        </w:rPr>
        <w:t>Оплата проезда и проживания за счет направляющей стороны.</w:t>
      </w:r>
    </w:p>
    <w:p w:rsidR="003A43AE" w:rsidRPr="00B70094" w:rsidRDefault="003A43AE" w:rsidP="003A43AE">
      <w:pPr>
        <w:pStyle w:val="a3"/>
        <w:jc w:val="both"/>
        <w:rPr>
          <w:b/>
        </w:rPr>
      </w:pPr>
      <w:r w:rsidRPr="00B70094">
        <w:rPr>
          <w:b/>
        </w:rPr>
        <w:t>Возможно только очное участие в студенческой конференции.</w:t>
      </w:r>
    </w:p>
    <w:p w:rsidR="003A43AE" w:rsidRPr="00763B5B" w:rsidRDefault="003A43AE" w:rsidP="003A43AE">
      <w:pPr>
        <w:pStyle w:val="a3"/>
        <w:jc w:val="both"/>
      </w:pPr>
      <w:r w:rsidRPr="00B70094">
        <w:t xml:space="preserve">Желающие могут получить сертификат об участии. </w:t>
      </w:r>
    </w:p>
    <w:p w:rsidR="003A43AE" w:rsidRPr="00B70094" w:rsidRDefault="003A43AE" w:rsidP="003A43AE">
      <w:pPr>
        <w:pStyle w:val="a3"/>
        <w:jc w:val="both"/>
      </w:pPr>
      <w:r w:rsidRPr="00B70094">
        <w:t xml:space="preserve">За лучшие доклады будут присуждены дипломы. </w:t>
      </w:r>
    </w:p>
    <w:p w:rsidR="003A43AE" w:rsidRPr="00B70094" w:rsidRDefault="003A43AE" w:rsidP="003A43AE">
      <w:pPr>
        <w:pStyle w:val="a3"/>
        <w:jc w:val="both"/>
      </w:pPr>
      <w:r>
        <w:t xml:space="preserve"> </w:t>
      </w:r>
    </w:p>
    <w:p w:rsidR="003A43AE" w:rsidRDefault="003A43AE" w:rsidP="003A43AE"/>
    <w:p w:rsidR="003A43AE" w:rsidRDefault="003A43AE" w:rsidP="003A43AE">
      <w:pPr>
        <w:pStyle w:val="a3"/>
      </w:pPr>
      <w:r>
        <w:t>Контакты Центра истории парламентаризма:</w:t>
      </w:r>
    </w:p>
    <w:p w:rsidR="003A43AE" w:rsidRPr="00E627AF" w:rsidRDefault="003A43AE" w:rsidP="003A43AE">
      <w:pPr>
        <w:pStyle w:val="a3"/>
        <w:rPr>
          <w:rStyle w:val="a4"/>
          <w:sz w:val="26"/>
          <w:szCs w:val="26"/>
        </w:rPr>
      </w:pPr>
      <w:r w:rsidRPr="004C2A2F">
        <w:rPr>
          <w:sz w:val="26"/>
          <w:szCs w:val="26"/>
          <w:lang w:val="en-US"/>
        </w:rPr>
        <w:t>E</w:t>
      </w:r>
      <w:r w:rsidRPr="00E627AF">
        <w:rPr>
          <w:sz w:val="26"/>
          <w:szCs w:val="26"/>
        </w:rPr>
        <w:t>-</w:t>
      </w:r>
      <w:r w:rsidRPr="004C2A2F">
        <w:rPr>
          <w:sz w:val="26"/>
          <w:szCs w:val="26"/>
          <w:lang w:val="en-US"/>
        </w:rPr>
        <w:t>mail</w:t>
      </w:r>
      <w:r w:rsidRPr="00E627AF">
        <w:rPr>
          <w:sz w:val="26"/>
          <w:szCs w:val="26"/>
        </w:rPr>
        <w:t xml:space="preserve">: </w:t>
      </w:r>
      <w:hyperlink r:id="rId8" w:history="1">
        <w:r w:rsidRPr="004C2A2F">
          <w:rPr>
            <w:rStyle w:val="a4"/>
            <w:sz w:val="26"/>
            <w:szCs w:val="26"/>
            <w:lang w:val="en-US"/>
          </w:rPr>
          <w:t>tavr</w:t>
        </w:r>
        <w:r w:rsidRPr="00E627AF">
          <w:rPr>
            <w:rStyle w:val="a4"/>
            <w:sz w:val="26"/>
            <w:szCs w:val="26"/>
          </w:rPr>
          <w:t>-</w:t>
        </w:r>
        <w:r w:rsidRPr="004C2A2F">
          <w:rPr>
            <w:rStyle w:val="a4"/>
            <w:sz w:val="26"/>
            <w:szCs w:val="26"/>
            <w:lang w:val="en-US"/>
          </w:rPr>
          <w:t>chtenia</w:t>
        </w:r>
        <w:r w:rsidRPr="00E627AF">
          <w:rPr>
            <w:rStyle w:val="a4"/>
            <w:sz w:val="26"/>
            <w:szCs w:val="26"/>
          </w:rPr>
          <w:t>2013@</w:t>
        </w:r>
        <w:r w:rsidRPr="004C2A2F">
          <w:rPr>
            <w:rStyle w:val="a4"/>
            <w:sz w:val="26"/>
            <w:szCs w:val="26"/>
            <w:lang w:val="en-US"/>
          </w:rPr>
          <w:t>yandex</w:t>
        </w:r>
        <w:r w:rsidRPr="00E627AF">
          <w:rPr>
            <w:rStyle w:val="a4"/>
            <w:sz w:val="26"/>
            <w:szCs w:val="26"/>
          </w:rPr>
          <w:t>.</w:t>
        </w:r>
        <w:r w:rsidRPr="004C2A2F">
          <w:rPr>
            <w:rStyle w:val="a4"/>
            <w:sz w:val="26"/>
            <w:szCs w:val="26"/>
            <w:lang w:val="en-US"/>
          </w:rPr>
          <w:t>ru</w:t>
        </w:r>
      </w:hyperlink>
    </w:p>
    <w:p w:rsidR="00725388" w:rsidRPr="003A43AE" w:rsidRDefault="003A43AE" w:rsidP="003A43AE">
      <w:pPr>
        <w:pStyle w:val="a3"/>
        <w:rPr>
          <w:color w:val="0000FF"/>
          <w:sz w:val="26"/>
          <w:szCs w:val="26"/>
          <w:u w:val="single"/>
          <w:lang w:val="en-US"/>
        </w:rPr>
      </w:pPr>
      <w:r w:rsidRPr="004C2A2F">
        <w:rPr>
          <w:rStyle w:val="a4"/>
          <w:sz w:val="26"/>
          <w:szCs w:val="26"/>
        </w:rPr>
        <w:t>Тел./факс: (812)326-69-11</w:t>
      </w:r>
    </w:p>
    <w:sectPr w:rsidR="00725388" w:rsidRPr="003A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780"/>
    <w:multiLevelType w:val="hybridMultilevel"/>
    <w:tmpl w:val="C01CA25C"/>
    <w:lvl w:ilvl="0" w:tplc="5178C55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30159"/>
    <w:multiLevelType w:val="hybridMultilevel"/>
    <w:tmpl w:val="BD005A38"/>
    <w:lvl w:ilvl="0" w:tplc="1D905EA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884424E"/>
    <w:multiLevelType w:val="hybridMultilevel"/>
    <w:tmpl w:val="728CEAB6"/>
    <w:lvl w:ilvl="0" w:tplc="45B6B9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3D42887"/>
    <w:multiLevelType w:val="hybridMultilevel"/>
    <w:tmpl w:val="2758E7EE"/>
    <w:lvl w:ilvl="0" w:tplc="C8A02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926551"/>
    <w:multiLevelType w:val="hybridMultilevel"/>
    <w:tmpl w:val="D5D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CF2427"/>
    <w:multiLevelType w:val="hybridMultilevel"/>
    <w:tmpl w:val="6ABA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26D0"/>
    <w:multiLevelType w:val="hybridMultilevel"/>
    <w:tmpl w:val="CA2A661E"/>
    <w:lvl w:ilvl="0" w:tplc="B5503A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E"/>
    <w:rsid w:val="003A43AE"/>
    <w:rsid w:val="00552EE7"/>
    <w:rsid w:val="007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3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rsid w:val="003A43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3AE"/>
    <w:pPr>
      <w:ind w:left="720"/>
      <w:contextualSpacing/>
    </w:pPr>
  </w:style>
  <w:style w:type="paragraph" w:customStyle="1" w:styleId="Default">
    <w:name w:val="Default"/>
    <w:rsid w:val="003A43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3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rsid w:val="003A43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3AE"/>
    <w:pPr>
      <w:ind w:left="720"/>
      <w:contextualSpacing/>
    </w:pPr>
  </w:style>
  <w:style w:type="paragraph" w:customStyle="1" w:styleId="Default">
    <w:name w:val="Default"/>
    <w:rsid w:val="003A43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r-chtenia201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vr-chtenia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Юрьевна</dc:creator>
  <cp:lastModifiedBy>Никитина Елена Юрьевна</cp:lastModifiedBy>
  <cp:revision>2</cp:revision>
  <dcterms:created xsi:type="dcterms:W3CDTF">2019-10-16T10:04:00Z</dcterms:created>
  <dcterms:modified xsi:type="dcterms:W3CDTF">2019-10-16T10:04:00Z</dcterms:modified>
</cp:coreProperties>
</file>